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>МУНИЦИПАЛЬНОЕ КАЗЁННОЕ ОБРАЗОВАТЕЛЬНОЕ УЧРЕЖДЕНИЕ</w:t>
      </w: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>МАРКОВСКАЯ ОСНОВНАЯ ОБЩЕОБРАЗОВАТЕЛЬНАЯ ШКОЛА</w:t>
      </w: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7B48D0" w:rsidRPr="007B48D0" w:rsidRDefault="00973671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19712459" wp14:editId="248C2168">
            <wp:simplePos x="0" y="0"/>
            <wp:positionH relativeFrom="column">
              <wp:posOffset>3501390</wp:posOffset>
            </wp:positionH>
            <wp:positionV relativeFrom="paragraph">
              <wp:posOffset>161172</wp:posOffset>
            </wp:positionV>
            <wp:extent cx="2508885" cy="2037715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D0" w:rsidRPr="007B48D0">
        <w:rPr>
          <w:rFonts w:eastAsia="Calibri"/>
          <w:b/>
          <w:sz w:val="22"/>
          <w:szCs w:val="22"/>
          <w:lang w:eastAsia="en-US"/>
        </w:rPr>
        <w:t>155140, Ивановская область, Комсомольский район, с. Марково, Линейный переулок, д.1</w:t>
      </w: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 xml:space="preserve">тел. 8(493 52) 2-71-50                                                                 </w:t>
      </w:r>
      <w:proofErr w:type="gramStart"/>
      <w:r w:rsidRPr="007B48D0">
        <w:rPr>
          <w:rFonts w:eastAsia="Calibri"/>
          <w:b/>
          <w:sz w:val="22"/>
          <w:szCs w:val="22"/>
          <w:lang w:eastAsia="en-US"/>
        </w:rPr>
        <w:t>Е</w:t>
      </w:r>
      <w:proofErr w:type="gramEnd"/>
      <w:r w:rsidRPr="007B48D0">
        <w:rPr>
          <w:rFonts w:eastAsia="Calibri"/>
          <w:b/>
          <w:sz w:val="22"/>
          <w:szCs w:val="22"/>
          <w:lang w:eastAsia="en-US"/>
        </w:rPr>
        <w:t xml:space="preserve">-mail </w:t>
      </w:r>
      <w:r w:rsidRPr="007B48D0">
        <w:rPr>
          <w:rFonts w:eastAsia="Calibri"/>
          <w:b/>
          <w:lang w:eastAsia="en-US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188"/>
        <w:gridCol w:w="3191"/>
        <w:gridCol w:w="3544"/>
      </w:tblGrid>
      <w:tr w:rsidR="007B48D0" w:rsidRPr="007B48D0" w:rsidTr="00764094">
        <w:tc>
          <w:tcPr>
            <w:tcW w:w="1606" w:type="pct"/>
            <w:hideMark/>
          </w:tcPr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Принято:</w:t>
            </w:r>
          </w:p>
          <w:p w:rsidR="007B48D0" w:rsidRPr="007B48D0" w:rsidRDefault="00973671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Протокол педсовета № 1</w:t>
            </w:r>
          </w:p>
          <w:p w:rsidR="007B48D0" w:rsidRPr="007B48D0" w:rsidRDefault="00973671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«28» 08. 2019 </w:t>
            </w:r>
            <w:r w:rsidR="007B48D0" w:rsidRPr="007B48D0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08" w:type="pct"/>
            <w:hideMark/>
          </w:tcPr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Согласовано:</w:t>
            </w:r>
          </w:p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На заседании Управляющего совета</w:t>
            </w:r>
          </w:p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Управляющего совета</w:t>
            </w:r>
          </w:p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___________</w:t>
            </w: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Н.А. Косованова</w:t>
            </w:r>
          </w:p>
        </w:tc>
        <w:tc>
          <w:tcPr>
            <w:tcW w:w="1786" w:type="pct"/>
            <w:hideMark/>
          </w:tcPr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Утверждена:</w:t>
            </w:r>
          </w:p>
          <w:p w:rsidR="00973671" w:rsidRDefault="00973671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Приказ №76-ОД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B48D0" w:rsidRPr="007B48D0" w:rsidRDefault="00973671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«28» 08.2019</w:t>
            </w:r>
            <w:r w:rsidR="007B48D0" w:rsidRPr="007B48D0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  <w:p w:rsidR="007B48D0" w:rsidRPr="007B48D0" w:rsidRDefault="007B48D0" w:rsidP="007B48D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B48D0">
              <w:rPr>
                <w:rFonts w:eastAsia="Calibri"/>
                <w:b/>
                <w:sz w:val="22"/>
                <w:szCs w:val="22"/>
                <w:lang w:eastAsia="en-US"/>
              </w:rPr>
              <w:t>Директор_________М.Н.Лучкова</w:t>
            </w:r>
            <w:proofErr w:type="spellEnd"/>
          </w:p>
        </w:tc>
      </w:tr>
    </w:tbl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Родной язык (русский)       5-9 </w:t>
      </w:r>
      <w:r w:rsidRPr="007B48D0">
        <w:rPr>
          <w:rFonts w:eastAsia="Calibri"/>
          <w:b/>
          <w:sz w:val="22"/>
          <w:szCs w:val="22"/>
          <w:u w:val="single"/>
          <w:lang w:eastAsia="en-US"/>
        </w:rPr>
        <w:t xml:space="preserve"> классы</w:t>
      </w: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>(название рабочей программы по предмету, курсу, дисциплине (модулю)</w:t>
      </w: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u w:val="single"/>
          <w:lang w:eastAsia="en-US"/>
        </w:rPr>
        <w:t>Уровень обучения  основной</w:t>
      </w: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 xml:space="preserve">Срок реализации  </w:t>
      </w:r>
      <w:r>
        <w:rPr>
          <w:rFonts w:eastAsia="Calibri"/>
          <w:b/>
          <w:sz w:val="22"/>
          <w:szCs w:val="22"/>
          <w:u w:val="single"/>
          <w:lang w:eastAsia="en-US"/>
        </w:rPr>
        <w:t>5 лет</w:t>
      </w: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 xml:space="preserve">Срок действия программы  </w:t>
      </w:r>
      <w:r w:rsidRPr="007B48D0">
        <w:rPr>
          <w:rFonts w:eastAsia="Calibri"/>
          <w:b/>
          <w:sz w:val="22"/>
          <w:szCs w:val="22"/>
          <w:u w:val="single"/>
          <w:lang w:eastAsia="en-US"/>
        </w:rPr>
        <w:t>2019-2024гг.</w:t>
      </w: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160" w:line="25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7B48D0" w:rsidRPr="007B48D0" w:rsidRDefault="007B48D0" w:rsidP="007B48D0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  <w:r w:rsidRPr="007B48D0">
        <w:rPr>
          <w:rFonts w:eastAsia="Calibri"/>
          <w:sz w:val="22"/>
          <w:szCs w:val="22"/>
          <w:lang w:eastAsia="en-US"/>
        </w:rPr>
        <w:t xml:space="preserve">              </w:t>
      </w:r>
      <w:r w:rsidRPr="007B48D0">
        <w:rPr>
          <w:rFonts w:eastAsia="Calibri"/>
          <w:b/>
          <w:sz w:val="22"/>
          <w:szCs w:val="22"/>
          <w:lang w:eastAsia="en-US"/>
        </w:rPr>
        <w:t xml:space="preserve"> Составила:  </w:t>
      </w:r>
      <w:r>
        <w:rPr>
          <w:rFonts w:eastAsia="Calibri"/>
          <w:b/>
          <w:sz w:val="22"/>
          <w:szCs w:val="22"/>
          <w:lang w:eastAsia="en-US"/>
        </w:rPr>
        <w:t>Шаркова Г.Б.</w:t>
      </w:r>
    </w:p>
    <w:p w:rsidR="007B48D0" w:rsidRPr="007B48D0" w:rsidRDefault="007B48D0" w:rsidP="007B48D0">
      <w:pPr>
        <w:spacing w:after="160" w:line="254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spacing w:after="160" w:line="254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 xml:space="preserve">                                    </w:t>
      </w: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48D0" w:rsidRPr="007B48D0" w:rsidRDefault="007B48D0" w:rsidP="007B48D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48D0">
        <w:rPr>
          <w:rFonts w:eastAsia="Calibri"/>
          <w:b/>
          <w:sz w:val="22"/>
          <w:szCs w:val="22"/>
          <w:lang w:eastAsia="en-US"/>
        </w:rPr>
        <w:t>Марково, 2019 г</w:t>
      </w: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lastRenderedPageBreak/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 xml:space="preserve">к </w:t>
      </w:r>
      <w:r w:rsidRPr="00712298">
        <w:lastRenderedPageBreak/>
        <w:t>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D87939">
        <w:t xml:space="preserve"> </w:t>
      </w:r>
      <w:r w:rsidRPr="00712298">
        <w:t>и имеют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</w:t>
      </w:r>
      <w:r w:rsidRPr="00712298">
        <w:lastRenderedPageBreak/>
        <w:t xml:space="preserve">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lastRenderedPageBreak/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  <w:r w:rsidRPr="00712298">
        <w:rPr>
          <w:sz w:val="24"/>
          <w:szCs w:val="24"/>
        </w:rPr>
        <w:lastRenderedPageBreak/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 xml:space="preserve">; произношение женских отчеств на </w:t>
      </w:r>
      <w:proofErr w:type="gramStart"/>
      <w:r w:rsidRPr="00712298">
        <w:rPr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и</w:t>
      </w:r>
      <w:proofErr w:type="gramEnd"/>
      <w:r w:rsidRPr="00712298">
        <w:rPr>
          <w:i/>
          <w:sz w:val="24"/>
          <w:szCs w:val="24"/>
        </w:rPr>
        <w:t>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правильное употребление синонимических грамматических конструкций с учётом </w:t>
      </w:r>
      <w:r w:rsidRPr="00712298">
        <w:rPr>
          <w:sz w:val="24"/>
          <w:szCs w:val="24"/>
        </w:rPr>
        <w:lastRenderedPageBreak/>
        <w:t>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различными видами слушания (детальным, выборочным‚ </w:t>
      </w:r>
      <w:r w:rsidRPr="00712298">
        <w:rPr>
          <w:sz w:val="24"/>
          <w:szCs w:val="24"/>
        </w:rPr>
        <w:lastRenderedPageBreak/>
        <w:t>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lastRenderedPageBreak/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</w:t>
      </w:r>
      <w:proofErr w:type="gramStart"/>
      <w:r w:rsidRPr="00980A94">
        <w:t>вств в пр</w:t>
      </w:r>
      <w:proofErr w:type="gramEnd"/>
      <w:r w:rsidRPr="00980A94">
        <w:t>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</w:t>
      </w:r>
      <w:r w:rsidRPr="00980A94">
        <w:rPr>
          <w:rStyle w:val="dash041e005f0431005f044b005f0447005f043d005f044b005f0439005f005fchar1char1"/>
        </w:rPr>
        <w:lastRenderedPageBreak/>
        <w:t xml:space="preserve">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lastRenderedPageBreak/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</w:t>
      </w:r>
      <w:r w:rsidRPr="00980A94">
        <w:lastRenderedPageBreak/>
        <w:t>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</w:t>
      </w:r>
      <w:r w:rsidRPr="00980A94">
        <w:rPr>
          <w:sz w:val="24"/>
          <w:szCs w:val="24"/>
        </w:rPr>
        <w:lastRenderedPageBreak/>
        <w:t>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</w:t>
      </w:r>
      <w:proofErr w:type="gramStart"/>
      <w:r w:rsidRPr="00980A94">
        <w:rPr>
          <w:sz w:val="24"/>
          <w:szCs w:val="24"/>
        </w:rPr>
        <w:t>прочитанное</w:t>
      </w:r>
      <w:proofErr w:type="gramEnd"/>
      <w:r w:rsidRPr="00980A94">
        <w:rPr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 xml:space="preserve">Равноправные и допустимые варианты произношения. </w:t>
      </w:r>
      <w:r w:rsidRPr="00712298">
        <w:lastRenderedPageBreak/>
        <w:t>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</w:t>
      </w:r>
      <w:r w:rsidRPr="00712298">
        <w:lastRenderedPageBreak/>
        <w:t>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</w:t>
      </w:r>
      <w:r w:rsidRPr="00712298">
        <w:lastRenderedPageBreak/>
        <w:t>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lastRenderedPageBreak/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lastRenderedPageBreak/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lastRenderedPageBreak/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lastRenderedPageBreak/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proofErr w:type="gramStart"/>
      <w:r w:rsidRPr="00712298">
        <w:rPr>
          <w:rFonts w:eastAsia="Calibri"/>
        </w:rPr>
        <w:t>безударный</w:t>
      </w:r>
      <w:proofErr w:type="gramEnd"/>
      <w:r w:rsidRPr="00712298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</w:t>
      </w:r>
      <w:r w:rsidRPr="00712298">
        <w:lastRenderedPageBreak/>
        <w:t xml:space="preserve">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proofErr w:type="gramStart"/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</w:t>
      </w:r>
      <w:proofErr w:type="gramEnd"/>
      <w:r w:rsidRPr="00712298">
        <w:t xml:space="preserve">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lastRenderedPageBreak/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0345F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lastRenderedPageBreak/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4C31E0"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A351D7">
            <w:r w:rsidRPr="00712298">
              <w:lastRenderedPageBreak/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A351D7"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Слоганы в языке современной рекламы.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lastRenderedPageBreak/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7192C"/>
    <w:rsid w:val="00084765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B48D0"/>
    <w:rsid w:val="007E5AE3"/>
    <w:rsid w:val="0084425A"/>
    <w:rsid w:val="008B2A20"/>
    <w:rsid w:val="008B4C05"/>
    <w:rsid w:val="0090345F"/>
    <w:rsid w:val="00973671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87939"/>
    <w:rsid w:val="00D91B20"/>
    <w:rsid w:val="00D9470B"/>
    <w:rsid w:val="00DC4D82"/>
    <w:rsid w:val="00E00738"/>
    <w:rsid w:val="00E2799B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Balloon Text"/>
    <w:basedOn w:val="a"/>
    <w:link w:val="a9"/>
    <w:rsid w:val="00973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3075-1F0B-4D4D-BEF0-DBFE5980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11104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Пользователь</cp:lastModifiedBy>
  <cp:revision>16</cp:revision>
  <dcterms:created xsi:type="dcterms:W3CDTF">2018-11-01T04:49:00Z</dcterms:created>
  <dcterms:modified xsi:type="dcterms:W3CDTF">2021-04-25T08:01:00Z</dcterms:modified>
</cp:coreProperties>
</file>